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2717BC" w:rsidRPr="005209E0" w14:paraId="42CC8EF9" w14:textId="77777777" w:rsidTr="002717BC">
        <w:tc>
          <w:tcPr>
            <w:tcW w:w="5954" w:type="dxa"/>
          </w:tcPr>
          <w:p w14:paraId="2FA4118F" w14:textId="77777777" w:rsidR="002717BC" w:rsidRPr="002D1AEE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426940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2717BC" w:rsidRPr="005209E0" w14:paraId="09115ECA" w14:textId="77777777" w:rsidTr="002717BC">
        <w:tc>
          <w:tcPr>
            <w:tcW w:w="5954" w:type="dxa"/>
          </w:tcPr>
          <w:p w14:paraId="3C95AE50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4D1452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2717BC" w:rsidRPr="005209E0" w14:paraId="0D0011E6" w14:textId="77777777" w:rsidTr="002717BC">
        <w:tc>
          <w:tcPr>
            <w:tcW w:w="5954" w:type="dxa"/>
          </w:tcPr>
          <w:p w14:paraId="7A6E2C6B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AAF82F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BC" w:rsidRPr="005209E0" w14:paraId="0B601ED7" w14:textId="77777777" w:rsidTr="002717BC">
        <w:trPr>
          <w:trHeight w:val="325"/>
        </w:trPr>
        <w:tc>
          <w:tcPr>
            <w:tcW w:w="5954" w:type="dxa"/>
          </w:tcPr>
          <w:p w14:paraId="56BB4A8B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2793DB" w14:textId="77777777" w:rsidR="002717BC" w:rsidRPr="00031884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В.Хендогин</w:t>
            </w:r>
            <w:proofErr w:type="spellEnd"/>
          </w:p>
        </w:tc>
      </w:tr>
      <w:tr w:rsidR="002717BC" w:rsidRPr="005209E0" w14:paraId="32FB4941" w14:textId="77777777" w:rsidTr="002717BC">
        <w:tc>
          <w:tcPr>
            <w:tcW w:w="5954" w:type="dxa"/>
          </w:tcPr>
          <w:p w14:paraId="018BCF43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9AF6CF" w14:textId="45CCDEF0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4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44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717BC" w:rsidRPr="005209E0" w14:paraId="53F60128" w14:textId="77777777" w:rsidTr="002717BC">
        <w:tc>
          <w:tcPr>
            <w:tcW w:w="5954" w:type="dxa"/>
          </w:tcPr>
          <w:p w14:paraId="6D3610C3" w14:textId="77777777" w:rsidR="002717BC" w:rsidRPr="005209E0" w:rsidRDefault="002717BC" w:rsidP="0027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2DF3FD" w14:textId="77777777" w:rsidR="002717BC" w:rsidRPr="005209E0" w:rsidRDefault="002717BC" w:rsidP="0027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E976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265EDB29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0A8BA3" w14:textId="4F9BBA9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520C8C" w14:textId="7777777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5A6AE4F" w14:textId="77777777" w:rsidR="00B04495" w:rsidRPr="008F08E5" w:rsidRDefault="00B0449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5BC7C6ED" w:rsidR="00D823EA" w:rsidRDefault="00D823EA" w:rsidP="00B044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4495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B04495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B04495">
        <w:rPr>
          <w:rFonts w:ascii="Times New Roman" w:hAnsi="Times New Roman" w:cs="Times New Roman"/>
          <w:sz w:val="26"/>
          <w:szCs w:val="26"/>
        </w:rPr>
        <w:t>суб</w:t>
      </w:r>
      <w:r w:rsidR="00C94206" w:rsidRPr="00B04495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B04495" w:rsidRPr="00B04495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="0087731E">
        <w:rPr>
          <w:rFonts w:ascii="Times New Roman" w:hAnsi="Times New Roman" w:cs="Times New Roman"/>
          <w:bCs/>
          <w:sz w:val="26"/>
          <w:szCs w:val="26"/>
        </w:rPr>
        <w:t xml:space="preserve"> для выполнения комплекса работ</w:t>
      </w:r>
      <w:r w:rsidR="00B04495" w:rsidRPr="00B04495">
        <w:rPr>
          <w:rFonts w:ascii="Times New Roman" w:hAnsi="Times New Roman" w:cs="Times New Roman"/>
          <w:bCs/>
          <w:sz w:val="26"/>
          <w:szCs w:val="26"/>
        </w:rPr>
        <w:t xml:space="preserve"> по монтажу систем пожарной сигнализаци</w:t>
      </w:r>
      <w:r w:rsidR="00B04495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B04495" w:rsidRPr="00B04495">
        <w:rPr>
          <w:rFonts w:ascii="Times New Roman" w:hAnsi="Times New Roman" w:cs="Times New Roman"/>
          <w:bCs/>
          <w:sz w:val="26"/>
          <w:szCs w:val="26"/>
        </w:rPr>
        <w:t>и систем оповещения о пожаре</w:t>
      </w:r>
      <w:r w:rsidR="00B044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49F9" w:rsidRPr="00B04495">
        <w:rPr>
          <w:rFonts w:ascii="Times New Roman" w:hAnsi="Times New Roman" w:cs="Times New Roman"/>
          <w:sz w:val="26"/>
          <w:szCs w:val="26"/>
        </w:rPr>
        <w:t xml:space="preserve">при строительстве </w:t>
      </w:r>
      <w:r w:rsidRPr="00B04495">
        <w:rPr>
          <w:rFonts w:ascii="Times New Roman" w:hAnsi="Times New Roman" w:cs="Times New Roman"/>
          <w:sz w:val="26"/>
          <w:szCs w:val="26"/>
        </w:rPr>
        <w:t>объекта:</w:t>
      </w:r>
    </w:p>
    <w:p w14:paraId="31CAE755" w14:textId="77777777" w:rsidR="00B04495" w:rsidRPr="00B04495" w:rsidRDefault="00B04495" w:rsidP="00B044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F7EBC3E" w14:textId="29C16305" w:rsidR="00040261" w:rsidRDefault="00DB49F9" w:rsidP="0004026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Минского района". Микрорайон №7. </w:t>
      </w:r>
    </w:p>
    <w:p w14:paraId="42752940" w14:textId="67DA5F16" w:rsidR="00D823EA" w:rsidRPr="00DE4F34" w:rsidRDefault="00DE4F34" w:rsidP="0004026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Школа №7.42 по </w:t>
      </w:r>
      <w:proofErr w:type="spell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B49F9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0AD3B10" w14:textId="3C283262" w:rsidR="004E71FB" w:rsidRPr="004E71FB" w:rsidRDefault="00D823EA" w:rsidP="004E71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1FB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4E71FB" w:rsidRPr="004E71FB">
        <w:rPr>
          <w:rFonts w:ascii="Times New Roman" w:hAnsi="Times New Roman" w:cs="Times New Roman"/>
          <w:sz w:val="24"/>
          <w:szCs w:val="24"/>
        </w:rPr>
        <w:t xml:space="preserve">выбор субподрядной </w:t>
      </w:r>
      <w:r w:rsidR="004E71FB" w:rsidRPr="004E71FB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877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731E" w:rsidRPr="0087731E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</w:t>
      </w:r>
      <w:r w:rsidR="004E71FB" w:rsidRPr="004E71FB">
        <w:rPr>
          <w:rFonts w:ascii="Times New Roman" w:hAnsi="Times New Roman" w:cs="Times New Roman"/>
          <w:bCs/>
          <w:sz w:val="24"/>
          <w:szCs w:val="24"/>
        </w:rPr>
        <w:t xml:space="preserve"> по монтажу систем пожарной сигнализации и систем оповещения о пожаре </w:t>
      </w:r>
      <w:r w:rsidR="004E71FB" w:rsidRPr="004E71FB">
        <w:rPr>
          <w:rFonts w:ascii="Times New Roman" w:hAnsi="Times New Roman" w:cs="Times New Roman"/>
          <w:sz w:val="24"/>
          <w:szCs w:val="24"/>
        </w:rPr>
        <w:t>при строительстве объекта:</w:t>
      </w:r>
    </w:p>
    <w:p w14:paraId="30758E30" w14:textId="5F8681C4" w:rsidR="00D823EA" w:rsidRPr="004E71FB" w:rsidRDefault="00EB4D48" w:rsidP="004E71FB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1FB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71FB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Pr="004E71FB">
        <w:rPr>
          <w:rFonts w:ascii="Times New Roman" w:hAnsi="Times New Roman" w:cs="Times New Roman"/>
          <w:sz w:val="24"/>
          <w:szCs w:val="24"/>
        </w:rPr>
        <w:t xml:space="preserve"> сельсовета Минского района". Микрорайон №7. Школа №7.42 по </w:t>
      </w:r>
      <w:proofErr w:type="spellStart"/>
      <w:r w:rsidRPr="004E71F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E71FB">
        <w:rPr>
          <w:rFonts w:ascii="Times New Roman" w:hAnsi="Times New Roman" w:cs="Times New Roman"/>
          <w:sz w:val="24"/>
          <w:szCs w:val="24"/>
        </w:rPr>
        <w:t xml:space="preserve">. </w:t>
      </w:r>
      <w:r w:rsidR="00D823EA" w:rsidRPr="004E71FB">
        <w:rPr>
          <w:rFonts w:ascii="Times New Roman" w:hAnsi="Times New Roman" w:cs="Times New Roman"/>
          <w:sz w:val="24"/>
          <w:szCs w:val="24"/>
        </w:rPr>
        <w:t>(далее – Объект)</w:t>
      </w:r>
      <w:r w:rsidR="004E71FB">
        <w:rPr>
          <w:rFonts w:ascii="Times New Roman" w:hAnsi="Times New Roman" w:cs="Times New Roman"/>
          <w:sz w:val="24"/>
          <w:szCs w:val="24"/>
        </w:rPr>
        <w:t>.</w:t>
      </w:r>
    </w:p>
    <w:p w14:paraId="3136F453" w14:textId="77777777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Здание школы на 1125 учащихся, сборного железобетонного каркаса, плит перекрытий и наружных трехслойных стеновых панелей. </w:t>
      </w:r>
    </w:p>
    <w:p w14:paraId="4C4303B1" w14:textId="6DD8CCD5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 из: </w:t>
      </w:r>
    </w:p>
    <w:p w14:paraId="67C7CDFF" w14:textId="2447F230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блок старших классов (блок №1) 4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этажа, </w:t>
      </w:r>
    </w:p>
    <w:p w14:paraId="0749C530" w14:textId="7722F3B3" w:rsid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общественный блок (блок №2) 3-4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этажа, </w:t>
      </w:r>
    </w:p>
    <w:p w14:paraId="15FEAB3A" w14:textId="31C0C99A" w:rsidR="00081A3D" w:rsidRPr="004E71FB" w:rsidRDefault="00081A3D" w:rsidP="004E71FB">
      <w:pPr>
        <w:pStyle w:val="a4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- блок младших классов (блок №3) 3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этажа</w:t>
      </w:r>
      <w:r w:rsidR="004E71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FB80EC" w14:textId="77777777" w:rsidR="00081A3D" w:rsidRPr="004E71FB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1FB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376530B6" w14:textId="2EBC5F86" w:rsidR="00E976F0" w:rsidRPr="00E976F0" w:rsidRDefault="00081A3D" w:rsidP="004E71F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4FF067" w14:textId="77777777" w:rsidR="00E35C1E" w:rsidRPr="00E35C1E" w:rsidRDefault="00E35C1E" w:rsidP="00E35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Предметом торгов является полный комплекс работ: </w:t>
      </w:r>
    </w:p>
    <w:p w14:paraId="21C6AB16" w14:textId="77777777" w:rsidR="00E35C1E" w:rsidRPr="00E35C1E" w:rsidRDefault="00E35C1E" w:rsidP="00E35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по монтажу пожарная сигнализация;</w:t>
      </w:r>
    </w:p>
    <w:p w14:paraId="5D9E34A5" w14:textId="77777777" w:rsidR="00E35C1E" w:rsidRPr="00E35C1E" w:rsidRDefault="00E35C1E" w:rsidP="00E35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по монтажу системы оповещения о пожаре.</w:t>
      </w:r>
    </w:p>
    <w:p w14:paraId="286B80BB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F364FF7" w14:textId="77777777" w:rsidR="00E35C1E" w:rsidRPr="00E35C1E" w:rsidRDefault="00E35C1E" w:rsidP="00E35C1E">
      <w:pPr>
        <w:spacing w:after="0" w:line="240" w:lineRule="auto"/>
        <w:ind w:left="355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   - 23.030-ПС(Изм.1)</w:t>
      </w:r>
    </w:p>
    <w:p w14:paraId="21A67BE4" w14:textId="77777777" w:rsidR="00E35C1E" w:rsidRPr="00E35C1E" w:rsidRDefault="00E35C1E" w:rsidP="00E35C1E">
      <w:pPr>
        <w:spacing w:after="0" w:line="240" w:lineRule="auto"/>
        <w:ind w:left="355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   - 23.030-ОП(Изм.1)</w:t>
      </w:r>
    </w:p>
    <w:p w14:paraId="0AEBA669" w14:textId="77777777" w:rsidR="00E35C1E" w:rsidRPr="00E35C1E" w:rsidRDefault="00E35C1E" w:rsidP="00E35C1E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0D5BAFB0" w14:textId="3BBABC2D" w:rsidR="00E35C1E" w:rsidRPr="00E35C1E" w:rsidRDefault="00E35C1E" w:rsidP="00E35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 Стоимость ценового предложения должна включать:</w:t>
      </w:r>
    </w:p>
    <w:p w14:paraId="116FA67E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0352E20E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1DB6E1FE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0C089BE1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4150BF9C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1D39857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3D882530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2B076546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55C5092B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02FD8F31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546AF2BD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25EF0F63" w14:textId="77777777" w:rsidR="00E35C1E" w:rsidRPr="00E35C1E" w:rsidRDefault="00E35C1E" w:rsidP="00E35C1E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E35C1E">
        <w:rPr>
          <w:rFonts w:ascii="Times New Roman" w:hAnsi="Times New Roman" w:cs="Times New Roman"/>
          <w:sz w:val="24"/>
          <w:szCs w:val="24"/>
        </w:rPr>
        <w:t xml:space="preserve">- учесть гарантийные удержания 2% на 6 месяцев после момента приемки Заказчиком Объекта в эксплуатацию. </w:t>
      </w:r>
    </w:p>
    <w:p w14:paraId="45B9B208" w14:textId="2EA596C6" w:rsidR="00DB49F9" w:rsidRPr="00E976F0" w:rsidRDefault="00DB49F9" w:rsidP="00E35C1E">
      <w:pPr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3E06EDA4" w14:textId="6E319BBE" w:rsidR="00D5649C" w:rsidRPr="00D5649C" w:rsidRDefault="006A3E52" w:rsidP="006A3E5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048B48D1" w:rsidR="00D823EA" w:rsidRDefault="00D823EA" w:rsidP="006A3E5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B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E3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49F2141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F36ED0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4B6AE29C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E844B12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440C78F" w14:textId="77777777" w:rsidR="003859B0" w:rsidRPr="00B71A97" w:rsidRDefault="003859B0" w:rsidP="003859B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-  условия авансирования: </w:t>
      </w:r>
      <w:r w:rsidRPr="00B71A97">
        <w:rPr>
          <w:rFonts w:ascii="Times New Roman" w:hAnsi="Times New Roman"/>
          <w:sz w:val="24"/>
          <w:szCs w:val="24"/>
          <w:highlight w:val="darkGray"/>
        </w:rPr>
        <w:t>__</w:t>
      </w:r>
      <w:r w:rsidRPr="00B71A97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74C3991" w14:textId="77777777" w:rsidR="00DB3E68" w:rsidRPr="005209E0" w:rsidRDefault="00DB3E68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597B9F6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="00CC5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562">
        <w:rPr>
          <w:rFonts w:ascii="Times New Roman" w:hAnsi="Times New Roman"/>
          <w:b/>
          <w:bCs/>
          <w:sz w:val="24"/>
          <w:szCs w:val="24"/>
        </w:rPr>
        <w:t>12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470562">
        <w:rPr>
          <w:rFonts w:ascii="Times New Roman" w:hAnsi="Times New Roman"/>
          <w:b/>
          <w:bCs/>
          <w:sz w:val="24"/>
          <w:szCs w:val="24"/>
        </w:rPr>
        <w:t>6.</w:t>
      </w:r>
      <w:r w:rsidR="00004251">
        <w:rPr>
          <w:rFonts w:ascii="Times New Roman" w:hAnsi="Times New Roman"/>
          <w:b/>
          <w:bCs/>
          <w:sz w:val="24"/>
          <w:szCs w:val="24"/>
        </w:rPr>
        <w:t>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297E23CB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B49F9">
        <w:rPr>
          <w:rFonts w:ascii="Times New Roman" w:hAnsi="Times New Roman"/>
          <w:b/>
          <w:bCs/>
          <w:sz w:val="24"/>
          <w:szCs w:val="24"/>
        </w:rPr>
        <w:t>2</w:t>
      </w:r>
      <w:r w:rsidR="00470562">
        <w:rPr>
          <w:rFonts w:ascii="Times New Roman" w:hAnsi="Times New Roman"/>
          <w:b/>
          <w:bCs/>
          <w:sz w:val="24"/>
          <w:szCs w:val="24"/>
        </w:rPr>
        <w:t>6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70562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 xml:space="preserve">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E2EF72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D14795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479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9D9C" w14:textId="77777777" w:rsidR="00972560" w:rsidRDefault="00972560" w:rsidP="00D65FD3">
      <w:pPr>
        <w:spacing w:after="0" w:line="240" w:lineRule="auto"/>
      </w:pPr>
      <w:r>
        <w:separator/>
      </w:r>
    </w:p>
  </w:endnote>
  <w:endnote w:type="continuationSeparator" w:id="0">
    <w:p w14:paraId="788A2980" w14:textId="77777777" w:rsidR="00972560" w:rsidRDefault="0097256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DB64" w14:textId="77777777" w:rsidR="00972560" w:rsidRDefault="00972560" w:rsidP="00D65FD3">
      <w:pPr>
        <w:spacing w:after="0" w:line="240" w:lineRule="auto"/>
      </w:pPr>
      <w:r>
        <w:separator/>
      </w:r>
    </w:p>
  </w:footnote>
  <w:footnote w:type="continuationSeparator" w:id="0">
    <w:p w14:paraId="03D4A89A" w14:textId="77777777" w:rsidR="00972560" w:rsidRDefault="0097256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0261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535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A6C74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17B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274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9B0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0562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E71FB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3E52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31E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560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4495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5EB4"/>
    <w:rsid w:val="00CD6941"/>
    <w:rsid w:val="00CE0BD9"/>
    <w:rsid w:val="00CE195A"/>
    <w:rsid w:val="00CE1BB7"/>
    <w:rsid w:val="00D06ADD"/>
    <w:rsid w:val="00D1346D"/>
    <w:rsid w:val="00D14795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67C5A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3E68"/>
    <w:rsid w:val="00DB49F9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5C1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976F0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36ED0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2E4E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3646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30</cp:revision>
  <cp:lastPrinted>2019-10-28T14:29:00Z</cp:lastPrinted>
  <dcterms:created xsi:type="dcterms:W3CDTF">2026-02-18T14:36:00Z</dcterms:created>
  <dcterms:modified xsi:type="dcterms:W3CDTF">2026-06-09T12:00:00Z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